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97C4E" w14:textId="77777777" w:rsidR="00A47367" w:rsidRPr="00A47367" w:rsidRDefault="00A47367" w:rsidP="00A47367">
      <w:pPr>
        <w:spacing w:line="480" w:lineRule="auto"/>
        <w:rPr>
          <w:rFonts w:ascii="Times New Roman" w:hAnsi="Times New Roman" w:cs="Times New Roman"/>
          <w:sz w:val="24"/>
          <w:szCs w:val="24"/>
        </w:rPr>
      </w:pPr>
      <w:r w:rsidRPr="00A47367">
        <w:rPr>
          <w:rFonts w:ascii="Times New Roman" w:hAnsi="Times New Roman" w:cs="Times New Roman"/>
          <w:sz w:val="24"/>
          <w:szCs w:val="24"/>
        </w:rPr>
        <w:t>UN Women</w:t>
      </w:r>
    </w:p>
    <w:p w14:paraId="0A528458" w14:textId="77777777" w:rsidR="00A47367" w:rsidRPr="00A47367" w:rsidRDefault="00A47367" w:rsidP="00A47367">
      <w:pPr>
        <w:spacing w:line="480" w:lineRule="auto"/>
        <w:rPr>
          <w:rFonts w:ascii="Times New Roman" w:hAnsi="Times New Roman" w:cs="Times New Roman"/>
          <w:sz w:val="24"/>
          <w:szCs w:val="24"/>
        </w:rPr>
      </w:pPr>
      <w:r w:rsidRPr="00A47367">
        <w:rPr>
          <w:rFonts w:ascii="Times New Roman" w:hAnsi="Times New Roman" w:cs="Times New Roman"/>
          <w:sz w:val="24"/>
          <w:szCs w:val="24"/>
        </w:rPr>
        <w:t>Novice Committee</w:t>
      </w:r>
    </w:p>
    <w:p w14:paraId="1AABECCD" w14:textId="77777777" w:rsidR="00A47367" w:rsidRPr="00A47367" w:rsidRDefault="00A47367" w:rsidP="00A47367">
      <w:pPr>
        <w:spacing w:line="480" w:lineRule="auto"/>
        <w:rPr>
          <w:rFonts w:ascii="Times New Roman" w:hAnsi="Times New Roman" w:cs="Times New Roman"/>
          <w:sz w:val="24"/>
          <w:szCs w:val="24"/>
        </w:rPr>
      </w:pPr>
      <w:r w:rsidRPr="00A47367">
        <w:rPr>
          <w:rFonts w:ascii="Times New Roman" w:hAnsi="Times New Roman" w:cs="Times New Roman"/>
          <w:sz w:val="24"/>
          <w:szCs w:val="24"/>
        </w:rPr>
        <w:t xml:space="preserve">Chair: Abigail </w:t>
      </w:r>
      <w:proofErr w:type="spellStart"/>
      <w:r w:rsidRPr="00A47367">
        <w:rPr>
          <w:rFonts w:ascii="Times New Roman" w:hAnsi="Times New Roman" w:cs="Times New Roman"/>
          <w:sz w:val="24"/>
          <w:szCs w:val="24"/>
        </w:rPr>
        <w:t>Overdevest</w:t>
      </w:r>
      <w:proofErr w:type="spellEnd"/>
    </w:p>
    <w:p w14:paraId="50A83D3A" w14:textId="77777777" w:rsidR="00A47367" w:rsidRPr="00A47367" w:rsidRDefault="00A47367" w:rsidP="00A47367">
      <w:pPr>
        <w:pStyle w:val="Heading2"/>
        <w:spacing w:line="480" w:lineRule="auto"/>
        <w:jc w:val="center"/>
        <w:rPr>
          <w:rStyle w:val="SubtleReference"/>
          <w:rFonts w:ascii="Times New Roman" w:hAnsi="Times New Roman" w:cs="Times New Roman"/>
          <w:b/>
          <w:bCs/>
          <w:color w:val="auto"/>
          <w:sz w:val="24"/>
          <w:szCs w:val="24"/>
        </w:rPr>
      </w:pPr>
      <w:r w:rsidRPr="00A47367">
        <w:rPr>
          <w:rStyle w:val="SubtleReference"/>
          <w:rFonts w:ascii="Times New Roman" w:hAnsi="Times New Roman" w:cs="Times New Roman"/>
          <w:b/>
          <w:bCs/>
          <w:color w:val="auto"/>
          <w:sz w:val="24"/>
          <w:szCs w:val="24"/>
        </w:rPr>
        <w:t>Topic 1 • Closing the Gender Pay Gap</w:t>
      </w:r>
    </w:p>
    <w:p w14:paraId="6141C238" w14:textId="77777777" w:rsidR="00A47367" w:rsidRPr="00A47367" w:rsidRDefault="00A47367" w:rsidP="00A47367">
      <w:pPr>
        <w:pStyle w:val="Subtitle"/>
        <w:spacing w:line="480" w:lineRule="auto"/>
        <w:jc w:val="center"/>
        <w:rPr>
          <w:rFonts w:ascii="Times New Roman" w:hAnsi="Times New Roman" w:cs="Times New Roman"/>
          <w:b/>
          <w:bCs/>
          <w:color w:val="auto"/>
          <w:sz w:val="24"/>
          <w:szCs w:val="24"/>
        </w:rPr>
      </w:pPr>
      <w:r w:rsidRPr="00A47367">
        <w:rPr>
          <w:rFonts w:ascii="Times New Roman" w:hAnsi="Times New Roman" w:cs="Times New Roman"/>
          <w:b/>
          <w:bCs/>
          <w:color w:val="auto"/>
          <w:sz w:val="24"/>
          <w:szCs w:val="24"/>
        </w:rPr>
        <w:t>Introduction</w:t>
      </w:r>
    </w:p>
    <w:p w14:paraId="32C4CA9E"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 xml:space="preserve">The Gender Pay Gap continues to be a persistent barrier in the fight to achieve global gender inequality. Despite decades of progress in women’s suffrage, women worldwide remain earning less than men for comparable work, reflecting systematic inequalities across labour markets. According to the Internation Labour Organization’s (ILO) 2018-2019 Global Wage Report, on average women earn approximately 20 percent less than man varying across countries and sectors (International Labour Organization, 2024). As well, the 2024 Global Gender Gap Report by the World Economic Forum (WEF) highlights that the overall economic equality remains distant with an estimate that it will take over 130 years to close the gender gaps at their current rate (Pal et al., 2024). The consistent unfairness clearly displays the importance of implementing effective changes to wage transparency, childcare access and workplace equity, so that change to longstanding systematic sexism can be amended. </w:t>
      </w:r>
    </w:p>
    <w:p w14:paraId="429DD4EF" w14:textId="77777777" w:rsidR="00A47367" w:rsidRPr="00A47367" w:rsidRDefault="00A47367" w:rsidP="00A47367">
      <w:pPr>
        <w:pStyle w:val="Subtitle"/>
        <w:spacing w:line="480" w:lineRule="auto"/>
        <w:jc w:val="center"/>
        <w:rPr>
          <w:rFonts w:ascii="Times New Roman" w:hAnsi="Times New Roman" w:cs="Times New Roman"/>
          <w:b/>
          <w:bCs/>
          <w:color w:val="auto"/>
          <w:sz w:val="24"/>
          <w:szCs w:val="24"/>
        </w:rPr>
      </w:pPr>
      <w:r w:rsidRPr="00A47367">
        <w:rPr>
          <w:rFonts w:ascii="Times New Roman" w:hAnsi="Times New Roman" w:cs="Times New Roman"/>
          <w:b/>
          <w:bCs/>
          <w:color w:val="auto"/>
          <w:sz w:val="24"/>
          <w:szCs w:val="24"/>
        </w:rPr>
        <w:t>Definitions</w:t>
      </w:r>
    </w:p>
    <w:p w14:paraId="3BFE9DE1"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lastRenderedPageBreak/>
        <w:t>Firstly, the Gender Pay Gap refers to the difference in earning between identifying men and women. The gap can be measured as unadjusted such as the basic difference without control factors or as adjusted, the difference calculated considering factors such as education, experience, or occupation (Ortiz-Ospina et al., 2024). Secondly, occupational segregation can be defined at the tendency for genders male or female to cluster in different types of jobs, in these cases- jobs often dominated by women are undervalued and paid a lesser wage. Third, pay transparency are policies that require employers to disclose salary information, complete wage audits and issue visible pay ranges. Finally, the informal economy describes employment outside of formal regulation. Informal sector workers are often excluded from wage surveys, especially in Africa and South Asia nation causing pay gaps to be more difficult to track adequately (</w:t>
      </w:r>
      <w:r w:rsidRPr="00A47367">
        <w:rPr>
          <w:rFonts w:ascii="Times New Roman" w:hAnsi="Times New Roman" w:cs="Times New Roman"/>
          <w:i/>
          <w:iCs/>
          <w:sz w:val="24"/>
          <w:szCs w:val="24"/>
        </w:rPr>
        <w:t xml:space="preserve">Global Gender Pay Gap Ranking: Who’s Leading </w:t>
      </w:r>
      <w:proofErr w:type="gramStart"/>
      <w:r w:rsidRPr="00A47367">
        <w:rPr>
          <w:rFonts w:ascii="Times New Roman" w:hAnsi="Times New Roman" w:cs="Times New Roman"/>
          <w:i/>
          <w:iCs/>
          <w:sz w:val="24"/>
          <w:szCs w:val="24"/>
        </w:rPr>
        <w:t>Now?</w:t>
      </w:r>
      <w:r w:rsidRPr="00A47367">
        <w:rPr>
          <w:rFonts w:ascii="Times New Roman" w:hAnsi="Times New Roman" w:cs="Times New Roman"/>
          <w:sz w:val="24"/>
          <w:szCs w:val="24"/>
        </w:rPr>
        <w:t>,</w:t>
      </w:r>
      <w:proofErr w:type="gramEnd"/>
      <w:r w:rsidRPr="00A47367">
        <w:rPr>
          <w:rFonts w:ascii="Times New Roman" w:hAnsi="Times New Roman" w:cs="Times New Roman"/>
          <w:sz w:val="24"/>
          <w:szCs w:val="24"/>
        </w:rPr>
        <w:t xml:space="preserve"> 2025).</w:t>
      </w:r>
    </w:p>
    <w:p w14:paraId="31FB9E66" w14:textId="77777777" w:rsidR="00A47367" w:rsidRPr="00A47367" w:rsidRDefault="00A47367" w:rsidP="00A47367">
      <w:pPr>
        <w:pStyle w:val="Subtitle"/>
        <w:spacing w:line="480" w:lineRule="auto"/>
        <w:jc w:val="center"/>
        <w:rPr>
          <w:rFonts w:ascii="Times New Roman" w:hAnsi="Times New Roman" w:cs="Times New Roman"/>
          <w:b/>
          <w:bCs/>
          <w:color w:val="auto"/>
          <w:sz w:val="24"/>
          <w:szCs w:val="24"/>
        </w:rPr>
      </w:pPr>
      <w:r w:rsidRPr="00A47367">
        <w:rPr>
          <w:rFonts w:ascii="Times New Roman" w:hAnsi="Times New Roman" w:cs="Times New Roman"/>
          <w:b/>
          <w:bCs/>
          <w:color w:val="auto"/>
          <w:sz w:val="24"/>
          <w:szCs w:val="24"/>
        </w:rPr>
        <w:t>Historical Background</w:t>
      </w:r>
    </w:p>
    <w:p w14:paraId="1CF88AD8"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Global efforts to lessen the Gender Pay Gap have been recorded, dating back to the mid 20</w:t>
      </w:r>
      <w:r w:rsidRPr="00A47367">
        <w:rPr>
          <w:rFonts w:ascii="Times New Roman" w:hAnsi="Times New Roman" w:cs="Times New Roman"/>
          <w:sz w:val="24"/>
          <w:szCs w:val="24"/>
          <w:vertAlign w:val="superscript"/>
        </w:rPr>
        <w:t>th</w:t>
      </w:r>
      <w:r w:rsidRPr="00A47367">
        <w:rPr>
          <w:rFonts w:ascii="Times New Roman" w:hAnsi="Times New Roman" w:cs="Times New Roman"/>
          <w:sz w:val="24"/>
          <w:szCs w:val="24"/>
        </w:rPr>
        <w:t xml:space="preserve"> century. The ILO Equal Remuneration Convention (1951) established equal pay for equal work as a universal labour standard (International Labour Organization, 2024). Over time, states have also introduced equal pay laws, anti-discrimination legislation and mandates on reporting. On the contrary, many countries with large informal economies lack the resources to accurately monitor these systems meaning progress has </w:t>
      </w:r>
      <w:proofErr w:type="gramStart"/>
      <w:r w:rsidRPr="00A47367">
        <w:rPr>
          <w:rFonts w:ascii="Times New Roman" w:hAnsi="Times New Roman" w:cs="Times New Roman"/>
          <w:sz w:val="24"/>
          <w:szCs w:val="24"/>
        </w:rPr>
        <w:t>be</w:t>
      </w:r>
      <w:proofErr w:type="gramEnd"/>
      <w:r w:rsidRPr="00A47367">
        <w:rPr>
          <w:rFonts w:ascii="Times New Roman" w:hAnsi="Times New Roman" w:cs="Times New Roman"/>
          <w:sz w:val="24"/>
          <w:szCs w:val="24"/>
        </w:rPr>
        <w:t xml:space="preserve"> uneven among core, periphery and semi-periphery countries. </w:t>
      </w:r>
    </w:p>
    <w:p w14:paraId="05F34781" w14:textId="77777777" w:rsidR="00A47367" w:rsidRPr="00A47367" w:rsidRDefault="00A47367" w:rsidP="00A47367">
      <w:pPr>
        <w:pStyle w:val="Subtitle"/>
        <w:spacing w:line="480" w:lineRule="auto"/>
        <w:jc w:val="center"/>
        <w:rPr>
          <w:rFonts w:ascii="Times New Roman" w:hAnsi="Times New Roman" w:cs="Times New Roman"/>
          <w:b/>
          <w:bCs/>
          <w:color w:val="auto"/>
          <w:sz w:val="24"/>
          <w:szCs w:val="24"/>
        </w:rPr>
      </w:pPr>
      <w:r w:rsidRPr="00A47367">
        <w:rPr>
          <w:rFonts w:ascii="Times New Roman" w:hAnsi="Times New Roman" w:cs="Times New Roman"/>
          <w:b/>
          <w:bCs/>
          <w:color w:val="auto"/>
          <w:sz w:val="24"/>
          <w:szCs w:val="24"/>
        </w:rPr>
        <w:lastRenderedPageBreak/>
        <w:t>Current Situation</w:t>
      </w:r>
    </w:p>
    <w:p w14:paraId="610ADAD5"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 xml:space="preserve">Today, still nearly every country </w:t>
      </w:r>
      <w:proofErr w:type="gramStart"/>
      <w:r w:rsidRPr="00A47367">
        <w:rPr>
          <w:rFonts w:ascii="Times New Roman" w:hAnsi="Times New Roman" w:cs="Times New Roman"/>
          <w:sz w:val="24"/>
          <w:szCs w:val="24"/>
        </w:rPr>
        <w:t>experience</w:t>
      </w:r>
      <w:proofErr w:type="gramEnd"/>
      <w:r w:rsidRPr="00A47367">
        <w:rPr>
          <w:rFonts w:ascii="Times New Roman" w:hAnsi="Times New Roman" w:cs="Times New Roman"/>
          <w:sz w:val="24"/>
          <w:szCs w:val="24"/>
        </w:rPr>
        <w:t xml:space="preserve"> some form of gender pay disparity. The 2024 Global Gender Gap Index ranks 146 countries and found that global gender inequality has reached 68.5 percent, marking minimal improvement since previous years (Pal et al., 2024). While some countries have proven to see some progress, it remains to be seen that women are continuing to be underpaid compared to their male peers. Even more disturbingly, the World Bank’s Gender Data Portal reveals that many countries still have an absence of reliable gender labor data, especially in developing countries. This limits the effectiveness of policies and tracking wage equality (World Bank, n.d.). </w:t>
      </w:r>
    </w:p>
    <w:p w14:paraId="7879F557" w14:textId="77777777" w:rsidR="00A47367" w:rsidRPr="00A47367" w:rsidRDefault="00A47367" w:rsidP="00A47367">
      <w:pPr>
        <w:pStyle w:val="Subtitle"/>
        <w:spacing w:line="480" w:lineRule="auto"/>
        <w:jc w:val="center"/>
        <w:rPr>
          <w:rFonts w:ascii="Times New Roman" w:hAnsi="Times New Roman" w:cs="Times New Roman"/>
          <w:b/>
          <w:bCs/>
          <w:color w:val="auto"/>
          <w:sz w:val="24"/>
          <w:szCs w:val="24"/>
        </w:rPr>
      </w:pPr>
      <w:r w:rsidRPr="00A47367">
        <w:rPr>
          <w:rFonts w:ascii="Times New Roman" w:hAnsi="Times New Roman" w:cs="Times New Roman"/>
          <w:b/>
          <w:bCs/>
          <w:color w:val="auto"/>
          <w:sz w:val="24"/>
          <w:szCs w:val="24"/>
        </w:rPr>
        <w:t>Questions to Consider</w:t>
      </w:r>
    </w:p>
    <w:p w14:paraId="79C6143F"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Occupational segregation shows that women seem to be overrepresented in sectors such as education, health, and domestic care. These areas historically pay less (Ortiz-Ospina et al., 2024). How might these structural patterns shape wage gaps?</w:t>
      </w:r>
    </w:p>
    <w:p w14:paraId="3F03A8A7"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The ILO identifies a concerning but constant “Motherhood Penalty”, where women see earning drop after having children due to limited protection policies post maternity leave, etc. Consider how the motherhood penalty might be an apparent but hidden systematic issue within organizations (International Labour Organization, 2024)?</w:t>
      </w:r>
    </w:p>
    <w:p w14:paraId="0A69DA93"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 xml:space="preserve">Large informal economies seem to lead to inaccurate record keeping of wage gaps. Seeming to mis capture informal workers which leads to misunderstandings and estimations of </w:t>
      </w:r>
      <w:r w:rsidRPr="00A47367">
        <w:rPr>
          <w:rFonts w:ascii="Times New Roman" w:hAnsi="Times New Roman" w:cs="Times New Roman"/>
          <w:sz w:val="24"/>
          <w:szCs w:val="24"/>
        </w:rPr>
        <w:lastRenderedPageBreak/>
        <w:t>inequalities (</w:t>
      </w:r>
      <w:r w:rsidRPr="00A47367">
        <w:rPr>
          <w:rFonts w:ascii="Times New Roman" w:hAnsi="Times New Roman" w:cs="Times New Roman"/>
          <w:i/>
          <w:iCs/>
          <w:sz w:val="24"/>
          <w:szCs w:val="24"/>
        </w:rPr>
        <w:t xml:space="preserve">Global Gender Pay Gap Ranking: Who’s Leading </w:t>
      </w:r>
      <w:proofErr w:type="gramStart"/>
      <w:r w:rsidRPr="00A47367">
        <w:rPr>
          <w:rFonts w:ascii="Times New Roman" w:hAnsi="Times New Roman" w:cs="Times New Roman"/>
          <w:i/>
          <w:iCs/>
          <w:sz w:val="24"/>
          <w:szCs w:val="24"/>
        </w:rPr>
        <w:t>Now?</w:t>
      </w:r>
      <w:r w:rsidRPr="00A47367">
        <w:rPr>
          <w:rFonts w:ascii="Times New Roman" w:hAnsi="Times New Roman" w:cs="Times New Roman"/>
          <w:sz w:val="24"/>
          <w:szCs w:val="24"/>
        </w:rPr>
        <w:t>,</w:t>
      </w:r>
      <w:proofErr w:type="gramEnd"/>
      <w:r w:rsidRPr="00A47367">
        <w:rPr>
          <w:rFonts w:ascii="Times New Roman" w:hAnsi="Times New Roman" w:cs="Times New Roman"/>
          <w:sz w:val="24"/>
          <w:szCs w:val="24"/>
        </w:rPr>
        <w:t xml:space="preserve"> 2025).  How might gender pay gaps worsen with accurate data, would this be helpful in correctly lessening the gap, what can be done to atone this?</w:t>
      </w:r>
    </w:p>
    <w:p w14:paraId="19F2ECF5"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Systematic and cultural norms around women’s roles such as caregiving and leadership abilities have created a longstanding economic disadvantage for women. How might these norms disadvantage women when it comes to policy making and many policy makers being male?</w:t>
      </w:r>
    </w:p>
    <w:p w14:paraId="17792549" w14:textId="77777777" w:rsidR="00A47367" w:rsidRPr="00A47367" w:rsidRDefault="00A47367" w:rsidP="00A47367">
      <w:pPr>
        <w:pStyle w:val="Heading2"/>
        <w:spacing w:line="480" w:lineRule="auto"/>
        <w:jc w:val="center"/>
        <w:rPr>
          <w:rFonts w:ascii="Times New Roman" w:hAnsi="Times New Roman" w:cs="Times New Roman"/>
          <w:b/>
          <w:bCs/>
          <w:smallCaps/>
          <w:color w:val="auto"/>
          <w:sz w:val="24"/>
          <w:szCs w:val="24"/>
        </w:rPr>
      </w:pPr>
      <w:r w:rsidRPr="00A47367">
        <w:rPr>
          <w:rStyle w:val="SubtleReference"/>
          <w:rFonts w:ascii="Times New Roman" w:hAnsi="Times New Roman" w:cs="Times New Roman"/>
          <w:b/>
          <w:bCs/>
          <w:color w:val="auto"/>
          <w:sz w:val="24"/>
          <w:szCs w:val="24"/>
        </w:rPr>
        <w:t xml:space="preserve">Topic 2 </w:t>
      </w:r>
      <w:r w:rsidRPr="00A47367">
        <w:rPr>
          <w:rFonts w:ascii="Times New Roman" w:hAnsi="Times New Roman" w:cs="Times New Roman"/>
          <w:b/>
          <w:bCs/>
          <w:smallCaps/>
          <w:color w:val="auto"/>
          <w:sz w:val="24"/>
          <w:szCs w:val="24"/>
        </w:rPr>
        <w:t>• Strengthening Support Systems for Women Facing Domestic Violence</w:t>
      </w:r>
    </w:p>
    <w:p w14:paraId="1D98106D" w14:textId="77777777" w:rsidR="00A47367" w:rsidRPr="00A47367" w:rsidRDefault="00A47367" w:rsidP="00A47367">
      <w:pPr>
        <w:pStyle w:val="Subtitle"/>
        <w:spacing w:line="480" w:lineRule="auto"/>
        <w:jc w:val="center"/>
        <w:rPr>
          <w:rFonts w:ascii="Times New Roman" w:hAnsi="Times New Roman" w:cs="Times New Roman"/>
          <w:b/>
          <w:bCs/>
          <w:color w:val="auto"/>
          <w:sz w:val="24"/>
          <w:szCs w:val="24"/>
        </w:rPr>
      </w:pPr>
      <w:r w:rsidRPr="00A47367">
        <w:rPr>
          <w:rFonts w:ascii="Times New Roman" w:hAnsi="Times New Roman" w:cs="Times New Roman"/>
          <w:b/>
          <w:bCs/>
          <w:color w:val="auto"/>
          <w:sz w:val="24"/>
          <w:szCs w:val="24"/>
        </w:rPr>
        <w:t>Introduction</w:t>
      </w:r>
    </w:p>
    <w:p w14:paraId="6DBAF432"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One in three women worldwide experience physical and/or sexual violence within their lifetime, domestic violence is no longer a growing concern, but a global crisis faced by generations both past and present (UN Women, 2025). Exacerbated by economic instability, cultural stigma and limited protection within legal systems, domestic violence remains as prominent as it has been for years. The World Health Organization’s (WHO) 2025 report indicates that 840 million women around the globe have faced violence from a partner, displaying almost now improvement over the past two decades (</w:t>
      </w:r>
      <w:r w:rsidRPr="00A47367">
        <w:rPr>
          <w:rFonts w:ascii="Times New Roman" w:hAnsi="Times New Roman" w:cs="Times New Roman"/>
          <w:i/>
          <w:iCs/>
          <w:sz w:val="24"/>
          <w:szCs w:val="24"/>
        </w:rPr>
        <w:t xml:space="preserve">Lifetime Toll: 840 </w:t>
      </w:r>
      <w:proofErr w:type="gramStart"/>
      <w:r w:rsidRPr="00A47367">
        <w:rPr>
          <w:rFonts w:ascii="Times New Roman" w:hAnsi="Times New Roman" w:cs="Times New Roman"/>
          <w:i/>
          <w:iCs/>
          <w:sz w:val="24"/>
          <w:szCs w:val="24"/>
        </w:rPr>
        <w:t>Million</w:t>
      </w:r>
      <w:proofErr w:type="gramEnd"/>
      <w:r w:rsidRPr="00A47367">
        <w:rPr>
          <w:rFonts w:ascii="Times New Roman" w:hAnsi="Times New Roman" w:cs="Times New Roman"/>
          <w:i/>
          <w:iCs/>
          <w:sz w:val="24"/>
          <w:szCs w:val="24"/>
        </w:rPr>
        <w:t xml:space="preserve"> Women Faced Partner or Sexual Violence</w:t>
      </w:r>
      <w:r w:rsidRPr="00A47367">
        <w:rPr>
          <w:rFonts w:ascii="Times New Roman" w:hAnsi="Times New Roman" w:cs="Times New Roman"/>
          <w:sz w:val="24"/>
          <w:szCs w:val="24"/>
        </w:rPr>
        <w:t>, 2025). Furthermore, in 2024, 50,000 women and girls were reported killed by an intimate partner or family member, this correlates to approximately 137 women and girls daily (</w:t>
      </w:r>
      <w:r w:rsidRPr="00A47367">
        <w:rPr>
          <w:rFonts w:ascii="Times New Roman" w:hAnsi="Times New Roman" w:cs="Times New Roman"/>
          <w:i/>
          <w:iCs/>
          <w:sz w:val="24"/>
          <w:szCs w:val="24"/>
        </w:rPr>
        <w:t>137 Women and Girls Killed Every Day by Intimate Partners or Family Members in 2024</w:t>
      </w:r>
      <w:r w:rsidRPr="00A47367">
        <w:rPr>
          <w:rFonts w:ascii="Times New Roman" w:hAnsi="Times New Roman" w:cs="Times New Roman"/>
          <w:sz w:val="24"/>
          <w:szCs w:val="24"/>
        </w:rPr>
        <w:t xml:space="preserve">, 2024). Domestic violence is not only dangerous but deadly. Despite </w:t>
      </w:r>
      <w:r w:rsidRPr="00A47367">
        <w:rPr>
          <w:rFonts w:ascii="Times New Roman" w:hAnsi="Times New Roman" w:cs="Times New Roman"/>
          <w:sz w:val="24"/>
          <w:szCs w:val="24"/>
        </w:rPr>
        <w:lastRenderedPageBreak/>
        <w:t>increased recognition and advocacy for survivors, funding is still not where it should be with only 0.2% of global aid directed towards preventative measures in 2022 (</w:t>
      </w:r>
      <w:r w:rsidRPr="00A47367">
        <w:rPr>
          <w:rFonts w:ascii="Times New Roman" w:hAnsi="Times New Roman" w:cs="Times New Roman"/>
          <w:i/>
          <w:iCs/>
          <w:sz w:val="24"/>
          <w:szCs w:val="24"/>
        </w:rPr>
        <w:t xml:space="preserve">Lifetime Toll: 840 </w:t>
      </w:r>
      <w:proofErr w:type="gramStart"/>
      <w:r w:rsidRPr="00A47367">
        <w:rPr>
          <w:rFonts w:ascii="Times New Roman" w:hAnsi="Times New Roman" w:cs="Times New Roman"/>
          <w:i/>
          <w:iCs/>
          <w:sz w:val="24"/>
          <w:szCs w:val="24"/>
        </w:rPr>
        <w:t>Million</w:t>
      </w:r>
      <w:proofErr w:type="gramEnd"/>
      <w:r w:rsidRPr="00A47367">
        <w:rPr>
          <w:rFonts w:ascii="Times New Roman" w:hAnsi="Times New Roman" w:cs="Times New Roman"/>
          <w:i/>
          <w:iCs/>
          <w:sz w:val="24"/>
          <w:szCs w:val="24"/>
        </w:rPr>
        <w:t xml:space="preserve"> Women Faced Partner or Sexual Violence</w:t>
      </w:r>
      <w:r w:rsidRPr="00A47367">
        <w:rPr>
          <w:rFonts w:ascii="Times New Roman" w:hAnsi="Times New Roman" w:cs="Times New Roman"/>
          <w:sz w:val="24"/>
          <w:szCs w:val="24"/>
        </w:rPr>
        <w:t>, 2025). Strengthening support systems for domestic violence survivors is vital to not only supporting those impacted but also advocating and educating women to prevent domestic violence rates from increasing. To progress these systems requires combined action to improve shelter, legal protections, reporting channels and survivor-centered services.</w:t>
      </w:r>
    </w:p>
    <w:p w14:paraId="383710C2" w14:textId="77777777" w:rsidR="00A47367" w:rsidRPr="00A47367" w:rsidRDefault="00A47367" w:rsidP="00A47367">
      <w:pPr>
        <w:pStyle w:val="Subtitle"/>
        <w:spacing w:line="480" w:lineRule="auto"/>
        <w:jc w:val="center"/>
        <w:rPr>
          <w:rFonts w:ascii="Times New Roman" w:hAnsi="Times New Roman" w:cs="Times New Roman"/>
          <w:b/>
          <w:bCs/>
          <w:color w:val="auto"/>
          <w:sz w:val="24"/>
          <w:szCs w:val="24"/>
        </w:rPr>
      </w:pPr>
      <w:r w:rsidRPr="00A47367">
        <w:rPr>
          <w:rFonts w:ascii="Times New Roman" w:hAnsi="Times New Roman" w:cs="Times New Roman"/>
          <w:b/>
          <w:bCs/>
          <w:color w:val="auto"/>
          <w:sz w:val="24"/>
          <w:szCs w:val="24"/>
        </w:rPr>
        <w:t>Definitions</w:t>
      </w:r>
    </w:p>
    <w:p w14:paraId="338AC037"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 xml:space="preserve">Domestic Violence (DV) is the physical, sexual, emotional or psychological abuse enacted by a partner or family member. </w:t>
      </w:r>
    </w:p>
    <w:p w14:paraId="6CFCBA5F"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 xml:space="preserve">Intimate Partner Violence (IPV) is violence that is committed by a current or former intimate partner. </w:t>
      </w:r>
    </w:p>
    <w:p w14:paraId="3686B7C9"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 xml:space="preserve">Femicide is defined as the killing of women because of their gender. </w:t>
      </w:r>
    </w:p>
    <w:p w14:paraId="69457BCC"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 xml:space="preserve">Support services can be referred to as shelters, crisis hotlines, legal aid, medical care and trained police responses that aid people affected by domestic violence. </w:t>
      </w:r>
    </w:p>
    <w:p w14:paraId="29AB42E3" w14:textId="77777777" w:rsidR="00A47367" w:rsidRPr="00A47367" w:rsidRDefault="00A47367" w:rsidP="00A47367">
      <w:pPr>
        <w:pStyle w:val="Subtitle"/>
        <w:spacing w:line="480" w:lineRule="auto"/>
        <w:jc w:val="center"/>
        <w:rPr>
          <w:rFonts w:ascii="Times New Roman" w:hAnsi="Times New Roman" w:cs="Times New Roman"/>
          <w:b/>
          <w:bCs/>
          <w:color w:val="auto"/>
          <w:sz w:val="24"/>
          <w:szCs w:val="24"/>
        </w:rPr>
      </w:pPr>
      <w:r w:rsidRPr="00A47367">
        <w:rPr>
          <w:rFonts w:ascii="Times New Roman" w:hAnsi="Times New Roman" w:cs="Times New Roman"/>
          <w:b/>
          <w:bCs/>
          <w:color w:val="auto"/>
          <w:sz w:val="24"/>
          <w:szCs w:val="24"/>
        </w:rPr>
        <w:t>Historical Background</w:t>
      </w:r>
    </w:p>
    <w:p w14:paraId="2A31C905"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 xml:space="preserve">Domestic violence has plagued the global community for far too long. Measures to prevent the violence committed by partners or family members include commitments such as the </w:t>
      </w:r>
      <w:r w:rsidRPr="00A47367">
        <w:rPr>
          <w:rFonts w:ascii="Times New Roman" w:hAnsi="Times New Roman" w:cs="Times New Roman"/>
          <w:sz w:val="24"/>
          <w:szCs w:val="24"/>
        </w:rPr>
        <w:lastRenderedPageBreak/>
        <w:t xml:space="preserve">Beijing Platform for Action (1995) which led to national mechanisms addressing these issues and other commitments made directly from governments to their individual states. 95 percent of national DV support systems and protections were created after 1995, meaning that they have only been active for a mere 30 some years (UN Women, 2025).  Over time, legal protections have expanded from a less than 1 percent of the </w:t>
      </w:r>
      <w:proofErr w:type="gramStart"/>
      <w:r w:rsidRPr="00A47367">
        <w:rPr>
          <w:rFonts w:ascii="Times New Roman" w:hAnsi="Times New Roman" w:cs="Times New Roman"/>
          <w:sz w:val="24"/>
          <w:szCs w:val="24"/>
        </w:rPr>
        <w:t>worlds</w:t>
      </w:r>
      <w:proofErr w:type="gramEnd"/>
      <w:r w:rsidRPr="00A47367">
        <w:rPr>
          <w:rFonts w:ascii="Times New Roman" w:hAnsi="Times New Roman" w:cs="Times New Roman"/>
          <w:sz w:val="24"/>
          <w:szCs w:val="24"/>
        </w:rPr>
        <w:t xml:space="preserve"> population in the 90’s to a great 90 percent in 2023, showing a clear desire by the large majority to end this type of suffering. Still, 10 percent of the world remains living in the absence of protections and fear of domestic violence (Pal et al., 2024).  </w:t>
      </w:r>
    </w:p>
    <w:p w14:paraId="52F99464" w14:textId="77777777" w:rsidR="00A47367" w:rsidRPr="00A47367" w:rsidRDefault="00A47367" w:rsidP="00A47367">
      <w:pPr>
        <w:pStyle w:val="Subtitle"/>
        <w:spacing w:line="480" w:lineRule="auto"/>
        <w:jc w:val="center"/>
        <w:rPr>
          <w:rFonts w:ascii="Times New Roman" w:hAnsi="Times New Roman" w:cs="Times New Roman"/>
          <w:b/>
          <w:bCs/>
          <w:color w:val="auto"/>
          <w:sz w:val="24"/>
          <w:szCs w:val="24"/>
        </w:rPr>
      </w:pPr>
      <w:r w:rsidRPr="00A47367">
        <w:rPr>
          <w:rFonts w:ascii="Times New Roman" w:hAnsi="Times New Roman" w:cs="Times New Roman"/>
          <w:b/>
          <w:bCs/>
          <w:color w:val="auto"/>
          <w:sz w:val="24"/>
          <w:szCs w:val="24"/>
        </w:rPr>
        <w:t>Current Situation</w:t>
      </w:r>
    </w:p>
    <w:p w14:paraId="4BBE966C"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Although some improvement has been seen over the past decades, prevalence of DV remains high. Nearly 840 million women worldwide have faced partner or sexual violence and 316 million women have faced IPV in just the past year, along with the stigma that comes along with this type of violence, one can only imagine how the numbers might grow if survivors who might fear repercussions came forward as well (</w:t>
      </w:r>
      <w:r w:rsidRPr="00A47367">
        <w:rPr>
          <w:rFonts w:ascii="Times New Roman" w:hAnsi="Times New Roman" w:cs="Times New Roman"/>
          <w:i/>
          <w:iCs/>
          <w:sz w:val="24"/>
          <w:szCs w:val="24"/>
        </w:rPr>
        <w:t>Lifetime Toll: 840 Million Women Faced Partner or Sexual Violence</w:t>
      </w:r>
      <w:r w:rsidRPr="00A47367">
        <w:rPr>
          <w:rFonts w:ascii="Times New Roman" w:hAnsi="Times New Roman" w:cs="Times New Roman"/>
          <w:sz w:val="24"/>
          <w:szCs w:val="24"/>
        </w:rPr>
        <w:t>, 2025). As described in the introduction, the deadliness of DV remains clear and femicide a leading cause of female deaths. As well, the stigmas continue to impact survivors with fewer than 40 percent of survivors seeking help and less than 10 percent reporting the violence to police (</w:t>
      </w:r>
      <w:r w:rsidRPr="00A47367">
        <w:rPr>
          <w:rFonts w:ascii="Times New Roman" w:hAnsi="Times New Roman" w:cs="Times New Roman"/>
          <w:i/>
          <w:iCs/>
          <w:sz w:val="24"/>
          <w:szCs w:val="24"/>
        </w:rPr>
        <w:t>Domestic Violence Statistics by Country 2025 | Key Facts</w:t>
      </w:r>
      <w:r w:rsidRPr="00A47367">
        <w:rPr>
          <w:rFonts w:ascii="Times New Roman" w:hAnsi="Times New Roman" w:cs="Times New Roman"/>
          <w:sz w:val="24"/>
          <w:szCs w:val="24"/>
        </w:rPr>
        <w:t xml:space="preserve">, 2025). Finally, support systems remain lacking. Even with national measures to prevent and assist people </w:t>
      </w:r>
      <w:r w:rsidRPr="00A47367">
        <w:rPr>
          <w:rFonts w:ascii="Times New Roman" w:hAnsi="Times New Roman" w:cs="Times New Roman"/>
          <w:sz w:val="24"/>
          <w:szCs w:val="24"/>
        </w:rPr>
        <w:lastRenderedPageBreak/>
        <w:t xml:space="preserve">affected by DV, there is a lack of coordination and economic barriers that frighten survivors into staying with survivors or speaking out. </w:t>
      </w:r>
    </w:p>
    <w:p w14:paraId="699D7BC2" w14:textId="77777777" w:rsidR="00A47367" w:rsidRPr="00A47367" w:rsidRDefault="00A47367" w:rsidP="00A47367">
      <w:pPr>
        <w:pStyle w:val="Subtitle"/>
        <w:spacing w:line="480" w:lineRule="auto"/>
        <w:jc w:val="center"/>
        <w:rPr>
          <w:rFonts w:ascii="Times New Roman" w:hAnsi="Times New Roman" w:cs="Times New Roman"/>
          <w:sz w:val="24"/>
          <w:szCs w:val="24"/>
        </w:rPr>
      </w:pPr>
      <w:r w:rsidRPr="00A47367">
        <w:rPr>
          <w:rFonts w:ascii="Times New Roman" w:hAnsi="Times New Roman" w:cs="Times New Roman"/>
          <w:sz w:val="24"/>
          <w:szCs w:val="24"/>
        </w:rPr>
        <w:t>Questions to Consider</w:t>
      </w:r>
    </w:p>
    <w:p w14:paraId="59A1A91A"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90 percent of countries has implemented laws to protect victims of domestic violence. How can governments improve theses systems and enforcements to ensure effectiveness?</w:t>
      </w:r>
    </w:p>
    <w:p w14:paraId="29E12C4E"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Shelter and crisis support is critical to ensuring victims that they are safe but how can countries increase these measures such as safe shelters, emergency housing, and trauma-informed medical care? Are private women support organizations doing it better and how can the UN emulate this?</w:t>
      </w:r>
    </w:p>
    <w:p w14:paraId="3E6D685B"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How can the UN secure sustainable funding to support these systems, especially with funding seeming to fall continuously?</w:t>
      </w:r>
    </w:p>
    <w:p w14:paraId="0649317F"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 xml:space="preserve">Stigmas and cultural norms pressure survivors and discourage them from seeking help, what can the governments and global communities do to prevent this from barring survivors and victims from seeking help. </w:t>
      </w:r>
    </w:p>
    <w:p w14:paraId="40FC7EB9"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In what way is data collection aiding or unhelpful in improving support systems?</w:t>
      </w:r>
    </w:p>
    <w:p w14:paraId="319651C7" w14:textId="77777777" w:rsidR="00A47367" w:rsidRPr="00A47367" w:rsidRDefault="00A47367" w:rsidP="00A47367">
      <w:pPr>
        <w:spacing w:line="480" w:lineRule="auto"/>
        <w:rPr>
          <w:rFonts w:ascii="Times New Roman" w:hAnsi="Times New Roman" w:cs="Times New Roman"/>
          <w:sz w:val="24"/>
          <w:szCs w:val="24"/>
        </w:rPr>
      </w:pPr>
    </w:p>
    <w:p w14:paraId="6ECC1F93" w14:textId="77777777" w:rsidR="00A47367" w:rsidRPr="00A47367" w:rsidRDefault="00A47367" w:rsidP="00A47367">
      <w:pPr>
        <w:spacing w:line="480" w:lineRule="auto"/>
        <w:rPr>
          <w:rFonts w:ascii="Times New Roman" w:hAnsi="Times New Roman" w:cs="Times New Roman"/>
          <w:sz w:val="24"/>
          <w:szCs w:val="24"/>
        </w:rPr>
      </w:pPr>
    </w:p>
    <w:p w14:paraId="27E433E7" w14:textId="77777777" w:rsidR="00A47367" w:rsidRPr="00A47367" w:rsidRDefault="00A47367" w:rsidP="00A47367">
      <w:pPr>
        <w:spacing w:line="480" w:lineRule="auto"/>
        <w:rPr>
          <w:rFonts w:ascii="Times New Roman" w:hAnsi="Times New Roman" w:cs="Times New Roman"/>
          <w:sz w:val="24"/>
          <w:szCs w:val="24"/>
        </w:rPr>
      </w:pPr>
    </w:p>
    <w:p w14:paraId="78A7F52A" w14:textId="77777777" w:rsidR="00A47367" w:rsidRPr="00A47367" w:rsidRDefault="00A47367" w:rsidP="00A47367">
      <w:pPr>
        <w:spacing w:line="480" w:lineRule="auto"/>
        <w:rPr>
          <w:rFonts w:ascii="Times New Roman" w:hAnsi="Times New Roman" w:cs="Times New Roman"/>
          <w:sz w:val="24"/>
          <w:szCs w:val="24"/>
        </w:rPr>
      </w:pPr>
    </w:p>
    <w:p w14:paraId="5E753AB3" w14:textId="77777777" w:rsidR="00A47367" w:rsidRPr="00A47367" w:rsidRDefault="00A47367" w:rsidP="00A47367">
      <w:pPr>
        <w:spacing w:line="480" w:lineRule="auto"/>
        <w:jc w:val="center"/>
        <w:rPr>
          <w:rFonts w:ascii="Times New Roman" w:hAnsi="Times New Roman" w:cs="Times New Roman"/>
          <w:sz w:val="24"/>
          <w:szCs w:val="24"/>
        </w:rPr>
      </w:pPr>
      <w:r w:rsidRPr="00A47367">
        <w:rPr>
          <w:rFonts w:ascii="Times New Roman" w:hAnsi="Times New Roman" w:cs="Times New Roman"/>
          <w:sz w:val="24"/>
          <w:szCs w:val="24"/>
        </w:rPr>
        <w:t>Bibliography</w:t>
      </w:r>
    </w:p>
    <w:p w14:paraId="5259DB57"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i/>
          <w:iCs/>
          <w:sz w:val="24"/>
          <w:szCs w:val="24"/>
        </w:rPr>
        <w:t>137 women and girls killed every day by intimate partners or family members in 2024</w:t>
      </w:r>
      <w:r w:rsidRPr="00A47367">
        <w:rPr>
          <w:rFonts w:ascii="Times New Roman" w:hAnsi="Times New Roman" w:cs="Times New Roman"/>
          <w:sz w:val="24"/>
          <w:szCs w:val="24"/>
        </w:rPr>
        <w:t xml:space="preserve">. (2024). United </w:t>
      </w:r>
      <w:proofErr w:type="gramStart"/>
      <w:r w:rsidRPr="00A47367">
        <w:rPr>
          <w:rFonts w:ascii="Times New Roman" w:hAnsi="Times New Roman" w:cs="Times New Roman"/>
          <w:sz w:val="24"/>
          <w:szCs w:val="24"/>
        </w:rPr>
        <w:t>Nations :</w:t>
      </w:r>
      <w:proofErr w:type="gramEnd"/>
      <w:r w:rsidRPr="00A47367">
        <w:rPr>
          <w:rFonts w:ascii="Times New Roman" w:hAnsi="Times New Roman" w:cs="Times New Roman"/>
          <w:sz w:val="24"/>
          <w:szCs w:val="24"/>
        </w:rPr>
        <w:t xml:space="preserve"> Office on Drugs and Crime. https://www.unodc.org/unodc/en/press/releases/2025/November/137-women-and-girls-killed-every-day-by-intimate-partners-or-family-members-in-2024.html</w:t>
      </w:r>
    </w:p>
    <w:p w14:paraId="5C406B2D"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i/>
          <w:iCs/>
          <w:sz w:val="24"/>
          <w:szCs w:val="24"/>
        </w:rPr>
        <w:t>Domestic Violence Statistics by Country 2025 | Key Facts</w:t>
      </w:r>
      <w:r w:rsidRPr="00A47367">
        <w:rPr>
          <w:rFonts w:ascii="Times New Roman" w:hAnsi="Times New Roman" w:cs="Times New Roman"/>
          <w:sz w:val="24"/>
          <w:szCs w:val="24"/>
        </w:rPr>
        <w:t>. (2025, September 16). The Global Statistics. https://www.theglobalstatistics.com/domestic-violence-statistics-by-country/</w:t>
      </w:r>
    </w:p>
    <w:p w14:paraId="2E5C7DA2"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i/>
          <w:iCs/>
          <w:sz w:val="24"/>
          <w:szCs w:val="24"/>
        </w:rPr>
        <w:t>Global Gender Pay Gap Ranking: Who’s Leading Now?</w:t>
      </w:r>
      <w:r w:rsidRPr="00A47367">
        <w:rPr>
          <w:rFonts w:ascii="Times New Roman" w:hAnsi="Times New Roman" w:cs="Times New Roman"/>
          <w:sz w:val="24"/>
          <w:szCs w:val="24"/>
        </w:rPr>
        <w:t xml:space="preserve"> (2025). </w:t>
      </w:r>
      <w:proofErr w:type="spellStart"/>
      <w:proofErr w:type="gramStart"/>
      <w:r w:rsidRPr="00A47367">
        <w:rPr>
          <w:rFonts w:ascii="Times New Roman" w:hAnsi="Times New Roman" w:cs="Times New Roman"/>
          <w:sz w:val="24"/>
          <w:szCs w:val="24"/>
        </w:rPr>
        <w:t>Hr.software</w:t>
      </w:r>
      <w:proofErr w:type="spellEnd"/>
      <w:proofErr w:type="gramEnd"/>
      <w:r w:rsidRPr="00A47367">
        <w:rPr>
          <w:rFonts w:ascii="Times New Roman" w:hAnsi="Times New Roman" w:cs="Times New Roman"/>
          <w:sz w:val="24"/>
          <w:szCs w:val="24"/>
        </w:rPr>
        <w:t>. https://www.hr.software/our-blog/global-gender-pay-gap-ranking-whos-leading-now</w:t>
      </w:r>
    </w:p>
    <w:p w14:paraId="2D4C72FD"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 xml:space="preserve">International Labour Organization. (2024, April 15). </w:t>
      </w:r>
      <w:r w:rsidRPr="00A47367">
        <w:rPr>
          <w:rFonts w:ascii="Times New Roman" w:hAnsi="Times New Roman" w:cs="Times New Roman"/>
          <w:i/>
          <w:iCs/>
          <w:sz w:val="24"/>
          <w:szCs w:val="24"/>
        </w:rPr>
        <w:t>The gender pay gap</w:t>
      </w:r>
      <w:r w:rsidRPr="00A47367">
        <w:rPr>
          <w:rFonts w:ascii="Times New Roman" w:hAnsi="Times New Roman" w:cs="Times New Roman"/>
          <w:sz w:val="24"/>
          <w:szCs w:val="24"/>
        </w:rPr>
        <w:t>. International Labour Organization. https://www.ilo.org/resource/other/gender-pay-gap</w:t>
      </w:r>
    </w:p>
    <w:p w14:paraId="68E42428"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i/>
          <w:iCs/>
          <w:sz w:val="24"/>
          <w:szCs w:val="24"/>
        </w:rPr>
        <w:t>Lifetime toll: 840 million women faced partner or sexual violence</w:t>
      </w:r>
      <w:r w:rsidRPr="00A47367">
        <w:rPr>
          <w:rFonts w:ascii="Times New Roman" w:hAnsi="Times New Roman" w:cs="Times New Roman"/>
          <w:sz w:val="24"/>
          <w:szCs w:val="24"/>
        </w:rPr>
        <w:t>. (2025). Who.int. https://www.who.int/news/item/19-11-2025-lifetime-toll--840-million-women-faced-partner-or-sexual-violence</w:t>
      </w:r>
    </w:p>
    <w:p w14:paraId="134C00FB"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 xml:space="preserve">Ortiz-Ospina, E., Roser, M., &amp; Hasell, J. (2024, March). </w:t>
      </w:r>
      <w:r w:rsidRPr="00A47367">
        <w:rPr>
          <w:rFonts w:ascii="Times New Roman" w:hAnsi="Times New Roman" w:cs="Times New Roman"/>
          <w:i/>
          <w:iCs/>
          <w:sz w:val="24"/>
          <w:szCs w:val="24"/>
        </w:rPr>
        <w:t>Economic Inequality by Gender</w:t>
      </w:r>
      <w:r w:rsidRPr="00A47367">
        <w:rPr>
          <w:rFonts w:ascii="Times New Roman" w:hAnsi="Times New Roman" w:cs="Times New Roman"/>
          <w:sz w:val="24"/>
          <w:szCs w:val="24"/>
        </w:rPr>
        <w:t>. Our World in Data. https://ourworldindata.org/economic-inequality-by-gender</w:t>
      </w:r>
    </w:p>
    <w:p w14:paraId="65CE469E"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lastRenderedPageBreak/>
        <w:t xml:space="preserve">Pal, K. K., Piaget, K., Zahidi, S., &amp; Baller, S. (2024, June 11). </w:t>
      </w:r>
      <w:r w:rsidRPr="00A47367">
        <w:rPr>
          <w:rFonts w:ascii="Times New Roman" w:hAnsi="Times New Roman" w:cs="Times New Roman"/>
          <w:i/>
          <w:iCs/>
          <w:sz w:val="24"/>
          <w:szCs w:val="24"/>
        </w:rPr>
        <w:t>Global gender gap report 2024</w:t>
      </w:r>
      <w:r w:rsidRPr="00A47367">
        <w:rPr>
          <w:rFonts w:ascii="Times New Roman" w:hAnsi="Times New Roman" w:cs="Times New Roman"/>
          <w:sz w:val="24"/>
          <w:szCs w:val="24"/>
        </w:rPr>
        <w:t>. World Economic Forum. https://www.weforum.org/publications/global-gender-gap-report-2024/digest/</w:t>
      </w:r>
    </w:p>
    <w:p w14:paraId="35780666"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 xml:space="preserve">UN Women. (2025). </w:t>
      </w:r>
      <w:r w:rsidRPr="00A47367">
        <w:rPr>
          <w:rFonts w:ascii="Times New Roman" w:hAnsi="Times New Roman" w:cs="Times New Roman"/>
          <w:i/>
          <w:iCs/>
          <w:sz w:val="24"/>
          <w:szCs w:val="24"/>
        </w:rPr>
        <w:t>Global database on Violence against Women</w:t>
      </w:r>
      <w:r w:rsidRPr="00A47367">
        <w:rPr>
          <w:rFonts w:ascii="Times New Roman" w:hAnsi="Times New Roman" w:cs="Times New Roman"/>
          <w:sz w:val="24"/>
          <w:szCs w:val="24"/>
        </w:rPr>
        <w:t>. UN Women Data Hub. https://data.unwomen.org/global-database-on-violence-against-women</w:t>
      </w:r>
    </w:p>
    <w:p w14:paraId="589A3937" w14:textId="77777777" w:rsidR="00A47367" w:rsidRPr="00A47367" w:rsidRDefault="00A47367" w:rsidP="00A47367">
      <w:pPr>
        <w:spacing w:line="480" w:lineRule="auto"/>
        <w:ind w:firstLine="720"/>
        <w:rPr>
          <w:rFonts w:ascii="Times New Roman" w:hAnsi="Times New Roman" w:cs="Times New Roman"/>
          <w:sz w:val="24"/>
          <w:szCs w:val="24"/>
        </w:rPr>
      </w:pPr>
      <w:r w:rsidRPr="00A47367">
        <w:rPr>
          <w:rFonts w:ascii="Times New Roman" w:hAnsi="Times New Roman" w:cs="Times New Roman"/>
          <w:sz w:val="24"/>
          <w:szCs w:val="24"/>
        </w:rPr>
        <w:t xml:space="preserve">World Bank. (n.d.). </w:t>
      </w:r>
      <w:r w:rsidRPr="00A47367">
        <w:rPr>
          <w:rFonts w:ascii="Times New Roman" w:hAnsi="Times New Roman" w:cs="Times New Roman"/>
          <w:i/>
          <w:iCs/>
          <w:sz w:val="24"/>
          <w:szCs w:val="24"/>
        </w:rPr>
        <w:t>Home | Gender Data Portal</w:t>
      </w:r>
      <w:r w:rsidRPr="00A47367">
        <w:rPr>
          <w:rFonts w:ascii="Times New Roman" w:hAnsi="Times New Roman" w:cs="Times New Roman"/>
          <w:sz w:val="24"/>
          <w:szCs w:val="24"/>
        </w:rPr>
        <w:t>. World Bank Gender Data Portal. https://genderdata.worldbank.org/en/home</w:t>
      </w:r>
    </w:p>
    <w:p w14:paraId="2F91DBBB" w14:textId="77777777" w:rsidR="00A47367" w:rsidRPr="00A47367" w:rsidRDefault="00A47367" w:rsidP="00A47367">
      <w:pPr>
        <w:spacing w:line="480" w:lineRule="auto"/>
        <w:rPr>
          <w:rFonts w:ascii="Times New Roman" w:hAnsi="Times New Roman" w:cs="Times New Roman"/>
          <w:sz w:val="24"/>
          <w:szCs w:val="24"/>
        </w:rPr>
      </w:pPr>
    </w:p>
    <w:p w14:paraId="09A76C3B" w14:textId="77777777" w:rsidR="00A47367" w:rsidRPr="00A47367" w:rsidRDefault="00A47367" w:rsidP="00A47367">
      <w:pPr>
        <w:spacing w:line="480" w:lineRule="auto"/>
        <w:rPr>
          <w:rFonts w:ascii="Times New Roman" w:hAnsi="Times New Roman" w:cs="Times New Roman"/>
          <w:sz w:val="24"/>
          <w:szCs w:val="24"/>
        </w:rPr>
      </w:pPr>
    </w:p>
    <w:p w14:paraId="40B1D522" w14:textId="4B513AA2" w:rsidR="005D46D2" w:rsidRPr="00A47367" w:rsidRDefault="005D46D2">
      <w:pPr>
        <w:rPr>
          <w:rFonts w:ascii="Times New Roman" w:hAnsi="Times New Roman" w:cs="Times New Roman"/>
          <w:sz w:val="24"/>
          <w:szCs w:val="24"/>
        </w:rPr>
      </w:pPr>
    </w:p>
    <w:sectPr w:rsidR="005D46D2" w:rsidRPr="00A47367" w:rsidSect="00E30359">
      <w:headerReference w:type="default" r:id="rId7"/>
      <w:footerReference w:type="default" r:id="rId8"/>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84E08" w14:textId="77777777" w:rsidR="002D0421" w:rsidRDefault="002D0421" w:rsidP="00E30359">
      <w:pPr>
        <w:spacing w:after="0" w:line="240" w:lineRule="auto"/>
      </w:pPr>
      <w:r>
        <w:separator/>
      </w:r>
    </w:p>
  </w:endnote>
  <w:endnote w:type="continuationSeparator" w:id="0">
    <w:p w14:paraId="62C1F95B" w14:textId="77777777" w:rsidR="002D0421" w:rsidRDefault="002D0421" w:rsidP="00E3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14:paraId="687A97BF" w14:textId="77777777" w:rsidTr="1AF42E4A">
      <w:trPr>
        <w:trHeight w:val="300"/>
      </w:trPr>
      <w:tc>
        <w:tcPr>
          <w:tcW w:w="3120" w:type="dxa"/>
        </w:tcPr>
        <w:p w14:paraId="7BBE4D40" w14:textId="41C6FFA4" w:rsidR="1AF42E4A" w:rsidRDefault="1AF42E4A" w:rsidP="1AF42E4A">
          <w:pPr>
            <w:pStyle w:val="Header"/>
            <w:ind w:left="-115"/>
          </w:pPr>
        </w:p>
      </w:tc>
      <w:tc>
        <w:tcPr>
          <w:tcW w:w="3120" w:type="dxa"/>
        </w:tcPr>
        <w:p w14:paraId="60354FA0" w14:textId="03AC6C1C" w:rsidR="1AF42E4A" w:rsidRDefault="1AF42E4A" w:rsidP="1AF42E4A">
          <w:pPr>
            <w:pStyle w:val="Header"/>
            <w:jc w:val="center"/>
          </w:pPr>
        </w:p>
      </w:tc>
      <w:tc>
        <w:tcPr>
          <w:tcW w:w="3120" w:type="dxa"/>
        </w:tcPr>
        <w:p w14:paraId="32FC6F07" w14:textId="536C34A7" w:rsidR="1AF42E4A" w:rsidRDefault="1AF42E4A" w:rsidP="1AF42E4A">
          <w:pPr>
            <w:pStyle w:val="Header"/>
            <w:ind w:right="-115"/>
            <w:jc w:val="right"/>
          </w:pPr>
        </w:p>
      </w:tc>
    </w:tr>
  </w:tbl>
  <w:p w14:paraId="17A742ED" w14:textId="1C539473" w:rsidR="1AF42E4A" w:rsidRDefault="1AF42E4A" w:rsidP="1AF4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4A3AE" w14:textId="77777777" w:rsidR="002D0421" w:rsidRDefault="002D0421" w:rsidP="00E30359">
      <w:pPr>
        <w:spacing w:after="0" w:line="240" w:lineRule="auto"/>
      </w:pPr>
      <w:r>
        <w:separator/>
      </w:r>
    </w:p>
  </w:footnote>
  <w:footnote w:type="continuationSeparator" w:id="0">
    <w:p w14:paraId="04E271B1" w14:textId="77777777" w:rsidR="002D0421" w:rsidRDefault="002D0421" w:rsidP="00E3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6CFA" w14:textId="56FADEC0" w:rsidR="00E30359" w:rsidRDefault="00E30359">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08FB"/>
    <w:multiLevelType w:val="hybridMultilevel"/>
    <w:tmpl w:val="E7C03894"/>
    <w:lvl w:ilvl="0" w:tplc="0A3AA326">
      <w:start w:val="1"/>
      <w:numFmt w:val="bullet"/>
      <w:lvlText w:val="·"/>
      <w:lvlJc w:val="left"/>
      <w:pPr>
        <w:ind w:left="720" w:hanging="360"/>
      </w:pPr>
      <w:rPr>
        <w:rFonts w:ascii="Symbol" w:hAnsi="Symbol" w:hint="default"/>
      </w:rPr>
    </w:lvl>
    <w:lvl w:ilvl="1" w:tplc="82488C2E">
      <w:start w:val="1"/>
      <w:numFmt w:val="bullet"/>
      <w:lvlText w:val="o"/>
      <w:lvlJc w:val="left"/>
      <w:pPr>
        <w:ind w:left="1440" w:hanging="360"/>
      </w:pPr>
      <w:rPr>
        <w:rFonts w:ascii="Courier New" w:hAnsi="Courier New" w:hint="default"/>
      </w:rPr>
    </w:lvl>
    <w:lvl w:ilvl="2" w:tplc="38C08AE6">
      <w:start w:val="1"/>
      <w:numFmt w:val="bullet"/>
      <w:lvlText w:val=""/>
      <w:lvlJc w:val="left"/>
      <w:pPr>
        <w:ind w:left="2160" w:hanging="360"/>
      </w:pPr>
      <w:rPr>
        <w:rFonts w:ascii="Wingdings" w:hAnsi="Wingdings" w:hint="default"/>
      </w:rPr>
    </w:lvl>
    <w:lvl w:ilvl="3" w:tplc="40BCE226">
      <w:start w:val="1"/>
      <w:numFmt w:val="bullet"/>
      <w:lvlText w:val=""/>
      <w:lvlJc w:val="left"/>
      <w:pPr>
        <w:ind w:left="2880" w:hanging="360"/>
      </w:pPr>
      <w:rPr>
        <w:rFonts w:ascii="Symbol" w:hAnsi="Symbol" w:hint="default"/>
      </w:rPr>
    </w:lvl>
    <w:lvl w:ilvl="4" w:tplc="6B32DFC8">
      <w:start w:val="1"/>
      <w:numFmt w:val="bullet"/>
      <w:lvlText w:val="o"/>
      <w:lvlJc w:val="left"/>
      <w:pPr>
        <w:ind w:left="3600" w:hanging="360"/>
      </w:pPr>
      <w:rPr>
        <w:rFonts w:ascii="Courier New" w:hAnsi="Courier New" w:hint="default"/>
      </w:rPr>
    </w:lvl>
    <w:lvl w:ilvl="5" w:tplc="B090FC8C">
      <w:start w:val="1"/>
      <w:numFmt w:val="bullet"/>
      <w:lvlText w:val=""/>
      <w:lvlJc w:val="left"/>
      <w:pPr>
        <w:ind w:left="4320" w:hanging="360"/>
      </w:pPr>
      <w:rPr>
        <w:rFonts w:ascii="Wingdings" w:hAnsi="Wingdings" w:hint="default"/>
      </w:rPr>
    </w:lvl>
    <w:lvl w:ilvl="6" w:tplc="394C6314">
      <w:start w:val="1"/>
      <w:numFmt w:val="bullet"/>
      <w:lvlText w:val=""/>
      <w:lvlJc w:val="left"/>
      <w:pPr>
        <w:ind w:left="5040" w:hanging="360"/>
      </w:pPr>
      <w:rPr>
        <w:rFonts w:ascii="Symbol" w:hAnsi="Symbol" w:hint="default"/>
      </w:rPr>
    </w:lvl>
    <w:lvl w:ilvl="7" w:tplc="57B2A1B0">
      <w:start w:val="1"/>
      <w:numFmt w:val="bullet"/>
      <w:lvlText w:val="o"/>
      <w:lvlJc w:val="left"/>
      <w:pPr>
        <w:ind w:left="5760" w:hanging="360"/>
      </w:pPr>
      <w:rPr>
        <w:rFonts w:ascii="Courier New" w:hAnsi="Courier New" w:hint="default"/>
      </w:rPr>
    </w:lvl>
    <w:lvl w:ilvl="8" w:tplc="8AB00832">
      <w:start w:val="1"/>
      <w:numFmt w:val="bullet"/>
      <w:lvlText w:val=""/>
      <w:lvlJc w:val="left"/>
      <w:pPr>
        <w:ind w:left="6480" w:hanging="360"/>
      </w:pPr>
      <w:rPr>
        <w:rFonts w:ascii="Wingdings" w:hAnsi="Wingdings" w:hint="default"/>
      </w:rPr>
    </w:lvl>
  </w:abstractNum>
  <w:abstractNum w:abstractNumId="1" w15:restartNumberingAfterBreak="0">
    <w:nsid w:val="49433CC1"/>
    <w:multiLevelType w:val="hybridMultilevel"/>
    <w:tmpl w:val="95600962"/>
    <w:lvl w:ilvl="0" w:tplc="43DEFA6E">
      <w:start w:val="1"/>
      <w:numFmt w:val="bullet"/>
      <w:lvlText w:val="·"/>
      <w:lvlJc w:val="left"/>
      <w:pPr>
        <w:ind w:left="720" w:hanging="360"/>
      </w:pPr>
      <w:rPr>
        <w:rFonts w:ascii="Symbol" w:hAnsi="Symbol" w:hint="default"/>
      </w:rPr>
    </w:lvl>
    <w:lvl w:ilvl="1" w:tplc="EED4CD70">
      <w:start w:val="1"/>
      <w:numFmt w:val="bullet"/>
      <w:lvlText w:val="o"/>
      <w:lvlJc w:val="left"/>
      <w:pPr>
        <w:ind w:left="1440" w:hanging="360"/>
      </w:pPr>
      <w:rPr>
        <w:rFonts w:ascii="Courier New" w:hAnsi="Courier New" w:hint="default"/>
      </w:rPr>
    </w:lvl>
    <w:lvl w:ilvl="2" w:tplc="C15C5F60">
      <w:start w:val="1"/>
      <w:numFmt w:val="bullet"/>
      <w:lvlText w:val=""/>
      <w:lvlJc w:val="left"/>
      <w:pPr>
        <w:ind w:left="2160" w:hanging="360"/>
      </w:pPr>
      <w:rPr>
        <w:rFonts w:ascii="Wingdings" w:hAnsi="Wingdings" w:hint="default"/>
      </w:rPr>
    </w:lvl>
    <w:lvl w:ilvl="3" w:tplc="61DEF6EE">
      <w:start w:val="1"/>
      <w:numFmt w:val="bullet"/>
      <w:lvlText w:val=""/>
      <w:lvlJc w:val="left"/>
      <w:pPr>
        <w:ind w:left="2880" w:hanging="360"/>
      </w:pPr>
      <w:rPr>
        <w:rFonts w:ascii="Symbol" w:hAnsi="Symbol" w:hint="default"/>
      </w:rPr>
    </w:lvl>
    <w:lvl w:ilvl="4" w:tplc="C002B232">
      <w:start w:val="1"/>
      <w:numFmt w:val="bullet"/>
      <w:lvlText w:val="o"/>
      <w:lvlJc w:val="left"/>
      <w:pPr>
        <w:ind w:left="3600" w:hanging="360"/>
      </w:pPr>
      <w:rPr>
        <w:rFonts w:ascii="Courier New" w:hAnsi="Courier New" w:hint="default"/>
      </w:rPr>
    </w:lvl>
    <w:lvl w:ilvl="5" w:tplc="B1FEECD4">
      <w:start w:val="1"/>
      <w:numFmt w:val="bullet"/>
      <w:lvlText w:val=""/>
      <w:lvlJc w:val="left"/>
      <w:pPr>
        <w:ind w:left="4320" w:hanging="360"/>
      </w:pPr>
      <w:rPr>
        <w:rFonts w:ascii="Wingdings" w:hAnsi="Wingdings" w:hint="default"/>
      </w:rPr>
    </w:lvl>
    <w:lvl w:ilvl="6" w:tplc="15C43D00">
      <w:start w:val="1"/>
      <w:numFmt w:val="bullet"/>
      <w:lvlText w:val=""/>
      <w:lvlJc w:val="left"/>
      <w:pPr>
        <w:ind w:left="5040" w:hanging="360"/>
      </w:pPr>
      <w:rPr>
        <w:rFonts w:ascii="Symbol" w:hAnsi="Symbol" w:hint="default"/>
      </w:rPr>
    </w:lvl>
    <w:lvl w:ilvl="7" w:tplc="A47222A2">
      <w:start w:val="1"/>
      <w:numFmt w:val="bullet"/>
      <w:lvlText w:val="o"/>
      <w:lvlJc w:val="left"/>
      <w:pPr>
        <w:ind w:left="5760" w:hanging="360"/>
      </w:pPr>
      <w:rPr>
        <w:rFonts w:ascii="Courier New" w:hAnsi="Courier New" w:hint="default"/>
      </w:rPr>
    </w:lvl>
    <w:lvl w:ilvl="8" w:tplc="13D42C5A">
      <w:start w:val="1"/>
      <w:numFmt w:val="bullet"/>
      <w:lvlText w:val=""/>
      <w:lvlJc w:val="left"/>
      <w:pPr>
        <w:ind w:left="6480" w:hanging="360"/>
      </w:pPr>
      <w:rPr>
        <w:rFonts w:ascii="Wingdings" w:hAnsi="Wingdings" w:hint="default"/>
      </w:rPr>
    </w:lvl>
  </w:abstractNum>
  <w:abstractNum w:abstractNumId="2" w15:restartNumberingAfterBreak="0">
    <w:nsid w:val="62CC0D15"/>
    <w:multiLevelType w:val="hybridMultilevel"/>
    <w:tmpl w:val="5F0EF4AA"/>
    <w:lvl w:ilvl="0" w:tplc="D56E99C0">
      <w:start w:val="1"/>
      <w:numFmt w:val="bullet"/>
      <w:lvlText w:val="·"/>
      <w:lvlJc w:val="left"/>
      <w:pPr>
        <w:ind w:left="720" w:hanging="360"/>
      </w:pPr>
      <w:rPr>
        <w:rFonts w:ascii="Symbol" w:hAnsi="Symbol" w:hint="default"/>
      </w:rPr>
    </w:lvl>
    <w:lvl w:ilvl="1" w:tplc="D9CC01E8">
      <w:start w:val="1"/>
      <w:numFmt w:val="bullet"/>
      <w:lvlText w:val="o"/>
      <w:lvlJc w:val="left"/>
      <w:pPr>
        <w:ind w:left="1440" w:hanging="360"/>
      </w:pPr>
      <w:rPr>
        <w:rFonts w:ascii="Courier New" w:hAnsi="Courier New" w:hint="default"/>
      </w:rPr>
    </w:lvl>
    <w:lvl w:ilvl="2" w:tplc="98EC1B40">
      <w:start w:val="1"/>
      <w:numFmt w:val="bullet"/>
      <w:lvlText w:val=""/>
      <w:lvlJc w:val="left"/>
      <w:pPr>
        <w:ind w:left="2160" w:hanging="360"/>
      </w:pPr>
      <w:rPr>
        <w:rFonts w:ascii="Wingdings" w:hAnsi="Wingdings" w:hint="default"/>
      </w:rPr>
    </w:lvl>
    <w:lvl w:ilvl="3" w:tplc="ABD215AC">
      <w:start w:val="1"/>
      <w:numFmt w:val="bullet"/>
      <w:lvlText w:val=""/>
      <w:lvlJc w:val="left"/>
      <w:pPr>
        <w:ind w:left="2880" w:hanging="360"/>
      </w:pPr>
      <w:rPr>
        <w:rFonts w:ascii="Symbol" w:hAnsi="Symbol" w:hint="default"/>
      </w:rPr>
    </w:lvl>
    <w:lvl w:ilvl="4" w:tplc="E1F06A22">
      <w:start w:val="1"/>
      <w:numFmt w:val="bullet"/>
      <w:lvlText w:val="o"/>
      <w:lvlJc w:val="left"/>
      <w:pPr>
        <w:ind w:left="3600" w:hanging="360"/>
      </w:pPr>
      <w:rPr>
        <w:rFonts w:ascii="Courier New" w:hAnsi="Courier New" w:hint="default"/>
      </w:rPr>
    </w:lvl>
    <w:lvl w:ilvl="5" w:tplc="270EB200">
      <w:start w:val="1"/>
      <w:numFmt w:val="bullet"/>
      <w:lvlText w:val=""/>
      <w:lvlJc w:val="left"/>
      <w:pPr>
        <w:ind w:left="4320" w:hanging="360"/>
      </w:pPr>
      <w:rPr>
        <w:rFonts w:ascii="Wingdings" w:hAnsi="Wingdings" w:hint="default"/>
      </w:rPr>
    </w:lvl>
    <w:lvl w:ilvl="6" w:tplc="4F46B16E">
      <w:start w:val="1"/>
      <w:numFmt w:val="bullet"/>
      <w:lvlText w:val=""/>
      <w:lvlJc w:val="left"/>
      <w:pPr>
        <w:ind w:left="5040" w:hanging="360"/>
      </w:pPr>
      <w:rPr>
        <w:rFonts w:ascii="Symbol" w:hAnsi="Symbol" w:hint="default"/>
      </w:rPr>
    </w:lvl>
    <w:lvl w:ilvl="7" w:tplc="7340E19A">
      <w:start w:val="1"/>
      <w:numFmt w:val="bullet"/>
      <w:lvlText w:val="o"/>
      <w:lvlJc w:val="left"/>
      <w:pPr>
        <w:ind w:left="5760" w:hanging="360"/>
      </w:pPr>
      <w:rPr>
        <w:rFonts w:ascii="Courier New" w:hAnsi="Courier New" w:hint="default"/>
      </w:rPr>
    </w:lvl>
    <w:lvl w:ilvl="8" w:tplc="5D2CDCCA">
      <w:start w:val="1"/>
      <w:numFmt w:val="bullet"/>
      <w:lvlText w:val=""/>
      <w:lvlJc w:val="left"/>
      <w:pPr>
        <w:ind w:left="6480" w:hanging="360"/>
      </w:pPr>
      <w:rPr>
        <w:rFonts w:ascii="Wingdings" w:hAnsi="Wingdings" w:hint="default"/>
      </w:rPr>
    </w:lvl>
  </w:abstractNum>
  <w:num w:numId="1" w16cid:durableId="1511024115">
    <w:abstractNumId w:val="2"/>
  </w:num>
  <w:num w:numId="2" w16cid:durableId="1185290421">
    <w:abstractNumId w:val="0"/>
  </w:num>
  <w:num w:numId="3" w16cid:durableId="948246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7578"/>
    <w:rsid w:val="00024A85"/>
    <w:rsid w:val="00042648"/>
    <w:rsid w:val="0019442C"/>
    <w:rsid w:val="00221EB2"/>
    <w:rsid w:val="002D0421"/>
    <w:rsid w:val="00374ECA"/>
    <w:rsid w:val="00403C59"/>
    <w:rsid w:val="005D46D2"/>
    <w:rsid w:val="005E2B1C"/>
    <w:rsid w:val="00717202"/>
    <w:rsid w:val="008B7270"/>
    <w:rsid w:val="009875AF"/>
    <w:rsid w:val="00A47367"/>
    <w:rsid w:val="00A5656B"/>
    <w:rsid w:val="00AE145D"/>
    <w:rsid w:val="00BA1617"/>
    <w:rsid w:val="00C053B6"/>
    <w:rsid w:val="00CC11DB"/>
    <w:rsid w:val="00DF3584"/>
    <w:rsid w:val="00E30359"/>
    <w:rsid w:val="00F27216"/>
    <w:rsid w:val="00F3378D"/>
    <w:rsid w:val="00FE05A1"/>
    <w:rsid w:val="09612D16"/>
    <w:rsid w:val="1AF42E4A"/>
    <w:rsid w:val="27E05A6C"/>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E39D6BBF-1787-4E9F-860C-8482C5EDE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eastAsiaTheme="majorEastAsia" w:hAnsiTheme="majorHAnsi" w:cstheme="majorBidi"/>
      <w:color w:val="0F4761" w:themeColor="accent1" w:themeShade="BF"/>
      <w:sz w:val="40"/>
      <w:szCs w:val="58"/>
    </w:rPr>
  </w:style>
  <w:style w:type="paragraph" w:styleId="Heading2">
    <w:name w:val="heading 2"/>
    <w:basedOn w:val="Normal"/>
    <w:next w:val="Normal"/>
    <w:link w:val="Heading2Char"/>
    <w:uiPriority w:val="9"/>
    <w:unhideWhenUsed/>
    <w:qFormat/>
    <w:rsid w:val="00E30359"/>
    <w:pPr>
      <w:keepNext/>
      <w:keepLines/>
      <w:spacing w:before="160" w:after="80"/>
      <w:outlineLvl w:val="1"/>
    </w:pPr>
    <w:rPr>
      <w:rFonts w:asciiTheme="majorHAnsi" w:eastAsiaTheme="majorEastAsia" w:hAnsiTheme="majorHAnsi"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semiHidden/>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359"/>
    <w:rPr>
      <w:rFonts w:asciiTheme="majorHAnsi" w:eastAsiaTheme="majorEastAsia" w:hAnsiTheme="majorHAnsi" w:cstheme="majorBidi"/>
      <w:color w:val="0F4761" w:themeColor="accent1" w:themeShade="BF"/>
      <w:sz w:val="40"/>
      <w:szCs w:val="58"/>
    </w:rPr>
  </w:style>
  <w:style w:type="character" w:customStyle="1" w:styleId="Heading2Char">
    <w:name w:val="Heading 2 Char"/>
    <w:basedOn w:val="DefaultParagraphFont"/>
    <w:link w:val="Heading2"/>
    <w:uiPriority w:val="9"/>
    <w:rsid w:val="00E30359"/>
    <w:rPr>
      <w:rFonts w:asciiTheme="majorHAnsi" w:eastAsiaTheme="majorEastAsia" w:hAnsiTheme="majorHAnsi" w:cstheme="majorBidi"/>
      <w:color w:val="0F4761" w:themeColor="accent1" w:themeShade="BF"/>
      <w:sz w:val="32"/>
      <w:szCs w:val="46"/>
    </w:rPr>
  </w:style>
  <w:style w:type="character" w:customStyle="1" w:styleId="Heading3Char">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customStyle="1" w:styleId="Heading4Char">
    <w:name w:val="Heading 4 Char"/>
    <w:basedOn w:val="DefaultParagraphFont"/>
    <w:link w:val="Heading4"/>
    <w:uiPriority w:val="9"/>
    <w:semiHidden/>
    <w:rsid w:val="00E3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E30359"/>
    <w:rPr>
      <w:rFonts w:asciiTheme="majorHAnsi" w:eastAsiaTheme="majorEastAsia" w:hAnsiTheme="majorHAnsi"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customStyle="1" w:styleId="SubtitleChar">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customStyle="1" w:styleId="QuoteChar">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ubtleReference">
    <w:name w:val="Subtle Reference"/>
    <w:basedOn w:val="DefaultParagraphFont"/>
    <w:uiPriority w:val="31"/>
    <w:qFormat/>
    <w:rsid w:val="00A47367"/>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1605</Words>
  <Characters>9601</Characters>
  <Application>Microsoft Office Word</Application>
  <DocSecurity>0</DocSecurity>
  <Lines>157</Lines>
  <Paragraphs>52</Paragraphs>
  <ScaleCrop>false</ScaleCrop>
  <Company/>
  <LinksUpToDate>false</LinksUpToDate>
  <CharactersWithSpaces>11154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McKenzie</dc:creator>
  <cp:keywords/>
  <dc:description/>
  <cp:lastModifiedBy>Noah Lakhani</cp:lastModifiedBy>
  <cp:revision>2</cp:revision>
  <dcterms:created xsi:type="dcterms:W3CDTF">2026-02-23T21:27:00Z</dcterms:created>
  <dcterms:modified xsi:type="dcterms:W3CDTF">2026-02-23T21:27:00Z</dcterms:modified>
</cp:coreProperties>
</file>